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Zpráva výcviká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řky za rok 2018 BK Olomouc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čky. Dovolte mi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 slov k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cviku.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  <w:t xml:space="preserve">Naše pobočka v loňsk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roce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ádala tradi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ýcvikové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dny.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ky genera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obm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ěně boxerů a 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členům, se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cvikov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dny mohou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naz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vat "Dnem boxera". </w:t>
        <w:br/>
        <w:tab/>
        <w:t xml:space="preserve">Roste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i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sportovně aktivn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 boxer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Z čehož snad nejen moje srdce ples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  <w:br/>
        <w:t xml:space="preserve">Co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ale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k radosti a jak bylo vidět na naš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šce chovnosti,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ětšina psů probl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se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kusem.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kus mus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klidn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siln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A to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je třeba boxery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naučit. Při zkoušce chovnosti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pes jen jednu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šanci 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kus mus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perfektn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hned napoprv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ětšinou však vid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jen to,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pes skoč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figuranta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mu figurant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do tlamy. V lep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ji pes stihne aspoň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zavř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častěji však k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kusu nedojde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ůbec.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pak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slab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mky i psi, kte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lep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hodnocen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nepodceňujte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pravu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 boxera, zbyte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mu tak škod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je mnohdy probl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k ruce kvalitn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 figuranta,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šeho psa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kousat, ale bez dobr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kladu se pes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kousat nenauč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vat zka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 psa, stoj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mnohem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nejen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šeho, ale i figurantova. Takže je lepš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psem kousat 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a poř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než často a blbě. </w:t>
        <w:br/>
        <w:tab/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ěci mus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 psa 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 sami. Ale je potřeba vědět, jak přesně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žadavek vypadat, abyste se vyvarovali zbytečn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 chyb. Nebojte se zeptat,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ěnujte se vlastn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teoretick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Metod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cviku je spoustu, ale ne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funguje na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ho. Zvl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šť u boxerů, protože to jsou prostě "boxeři". Nenechte se tedy odradit. A hlavně nespěchejte. Z vlastn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šenosti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boxer potřebuje dospět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aby "na place"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ředvedl to co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ned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 u toho šašk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rny a alotria. (V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znam slova alotrie= zloben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skopi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činy, rozpustil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skota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neposlu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šnost, neposednost, nezbednost. Tedy přesn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diagn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plemene boxer :-D ).</w:t>
        <w:br/>
        <w:tab/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ěrem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tedy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řeji hodně radosti, sportovn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ěchů,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ěv na 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a hlavně nadhled. Protože jak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m:" Boxer nikdy nezklame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boxer může jen mile překvapit."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ěkuji za pozornost</w:t>
        <w:br/>
        <w:t xml:space="preserve">Ing. Alena Vaňkov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  <w:br/>
        <w:t xml:space="preserve">výcviká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ÚP Olomouc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.2.201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